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77" w:rsidRDefault="00EE6377" w:rsidP="00EE6377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  <w:lang w:eastAsia="it-IT" w:bidi="ar-SA"/>
        </w:rPr>
        <w:drawing>
          <wp:inline distT="0" distB="0" distL="0" distR="0">
            <wp:extent cx="1905000" cy="266700"/>
            <wp:effectExtent l="0" t="0" r="0" b="0"/>
            <wp:docPr id="1" name="Immagine 1" descr="Logo Regione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gione Emilia-Romag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7"/>
          <w:szCs w:val="17"/>
        </w:rPr>
        <w:br/>
        <w:t>Giunta Regionale - Agenzia di Informazione e Comunicazione</w:t>
      </w:r>
    </w:p>
    <w:p w:rsidR="00EE6377" w:rsidRDefault="00EE6377" w:rsidP="005D5065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E6377" w:rsidRDefault="00EE6377" w:rsidP="005D5065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221B7" w:rsidRPr="00EE6377" w:rsidRDefault="00EE6377" w:rsidP="00EE6377">
      <w:pPr>
        <w:pStyle w:val="Nessunaspaziatura"/>
        <w:jc w:val="center"/>
        <w:rPr>
          <w:rFonts w:cs="Times New Roman"/>
          <w:b/>
          <w:szCs w:val="24"/>
        </w:rPr>
      </w:pPr>
      <w:r w:rsidRPr="00EE6377">
        <w:rPr>
          <w:rFonts w:cs="Times New Roman"/>
          <w:b/>
          <w:szCs w:val="24"/>
        </w:rPr>
        <w:t>Legalità: azioni intraprese nell’area del sisma</w:t>
      </w:r>
    </w:p>
    <w:p w:rsidR="00EE6377" w:rsidRPr="00EE6377" w:rsidRDefault="00EE6377" w:rsidP="00EE6377">
      <w:pPr>
        <w:pStyle w:val="Nessunaspaziatura"/>
        <w:jc w:val="center"/>
        <w:rPr>
          <w:rFonts w:cs="Times New Roman"/>
          <w:b/>
          <w:szCs w:val="24"/>
        </w:rPr>
      </w:pPr>
    </w:p>
    <w:p w:rsidR="006221B7" w:rsidRPr="00EE6377" w:rsidRDefault="00932839" w:rsidP="005D5065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EE6377">
        <w:rPr>
          <w:rFonts w:cs="Times New Roman"/>
          <w:sz w:val="22"/>
          <w:szCs w:val="22"/>
        </w:rPr>
        <w:t>Con l’approvazione della L</w:t>
      </w:r>
      <w:r w:rsidR="00B173AC" w:rsidRPr="00EE6377">
        <w:rPr>
          <w:rFonts w:cs="Times New Roman"/>
          <w:sz w:val="22"/>
          <w:szCs w:val="22"/>
        </w:rPr>
        <w:t>egge regionale</w:t>
      </w:r>
      <w:r w:rsidRPr="00EE6377">
        <w:rPr>
          <w:rFonts w:cs="Times New Roman"/>
          <w:sz w:val="22"/>
          <w:szCs w:val="22"/>
        </w:rPr>
        <w:t xml:space="preserve"> n. 3</w:t>
      </w:r>
      <w:r w:rsidR="00B173AC" w:rsidRPr="00EE6377">
        <w:rPr>
          <w:rFonts w:cs="Times New Roman"/>
          <w:sz w:val="22"/>
          <w:szCs w:val="22"/>
        </w:rPr>
        <w:t xml:space="preserve"> del </w:t>
      </w:r>
      <w:r w:rsidRPr="00EE6377">
        <w:rPr>
          <w:rFonts w:cs="Times New Roman"/>
          <w:sz w:val="22"/>
          <w:szCs w:val="22"/>
        </w:rPr>
        <w:t xml:space="preserve">2011 </w:t>
      </w:r>
      <w:r w:rsidR="0034417B" w:rsidRPr="00EE6377">
        <w:rPr>
          <w:rFonts w:cs="Times New Roman"/>
          <w:sz w:val="22"/>
          <w:szCs w:val="22"/>
        </w:rPr>
        <w:t xml:space="preserve">(promozione cultura legalità) </w:t>
      </w:r>
      <w:r w:rsidRPr="00EE6377">
        <w:rPr>
          <w:rFonts w:cs="Times New Roman"/>
          <w:sz w:val="22"/>
          <w:szCs w:val="22"/>
        </w:rPr>
        <w:t>la Regione Emilia-Romagna ha provveduto a costruire un quadro normativo in cui le diverse politiche regionali si coordinano efficacemente al fine di contrastare l’infiltrazione mafiosa e del crimine organizzato e promuovere la diffusione della legalità, tema sul quale la Regione è fortemente impegnata anche con le leggi n. 2</w:t>
      </w:r>
      <w:r w:rsidR="00AF3485" w:rsidRPr="00EE6377">
        <w:rPr>
          <w:rFonts w:cs="Times New Roman"/>
          <w:sz w:val="22"/>
          <w:szCs w:val="22"/>
        </w:rPr>
        <w:t xml:space="preserve"> del </w:t>
      </w:r>
      <w:r w:rsidRPr="00EE6377">
        <w:rPr>
          <w:rFonts w:cs="Times New Roman"/>
          <w:sz w:val="22"/>
          <w:szCs w:val="22"/>
        </w:rPr>
        <w:t>2009</w:t>
      </w:r>
      <w:r w:rsidR="0089461E" w:rsidRPr="00EE6377">
        <w:rPr>
          <w:rFonts w:cs="Times New Roman"/>
          <w:sz w:val="22"/>
          <w:szCs w:val="22"/>
        </w:rPr>
        <w:t xml:space="preserve"> (tutela e sicurezza del lavoro nei cantieri)</w:t>
      </w:r>
      <w:r w:rsidRPr="00EE6377">
        <w:rPr>
          <w:rFonts w:cs="Times New Roman"/>
          <w:sz w:val="22"/>
          <w:szCs w:val="22"/>
        </w:rPr>
        <w:t>, 11</w:t>
      </w:r>
      <w:r w:rsidR="00AF3485" w:rsidRPr="00EE6377">
        <w:rPr>
          <w:rFonts w:cs="Times New Roman"/>
          <w:sz w:val="22"/>
          <w:szCs w:val="22"/>
        </w:rPr>
        <w:t xml:space="preserve"> del </w:t>
      </w:r>
      <w:r w:rsidRPr="00EE6377">
        <w:rPr>
          <w:rFonts w:cs="Times New Roman"/>
          <w:sz w:val="22"/>
          <w:szCs w:val="22"/>
        </w:rPr>
        <w:t xml:space="preserve">2010 </w:t>
      </w:r>
      <w:r w:rsidR="0089461E" w:rsidRPr="00EE6377">
        <w:rPr>
          <w:rFonts w:cs="Times New Roman"/>
          <w:sz w:val="22"/>
          <w:szCs w:val="22"/>
        </w:rPr>
        <w:t>(</w:t>
      </w:r>
      <w:r w:rsidR="0034417B" w:rsidRPr="00EE6377">
        <w:rPr>
          <w:rFonts w:cs="Times New Roman"/>
          <w:sz w:val="22"/>
          <w:szCs w:val="22"/>
        </w:rPr>
        <w:t>legalità nell’</w:t>
      </w:r>
      <w:r w:rsidR="0089461E" w:rsidRPr="00EE6377">
        <w:rPr>
          <w:rFonts w:cs="Times New Roman"/>
          <w:sz w:val="22"/>
          <w:szCs w:val="22"/>
        </w:rPr>
        <w:t>appalt</w:t>
      </w:r>
      <w:r w:rsidR="0034417B" w:rsidRPr="00EE6377">
        <w:rPr>
          <w:rFonts w:cs="Times New Roman"/>
          <w:sz w:val="22"/>
          <w:szCs w:val="22"/>
        </w:rPr>
        <w:t>o</w:t>
      </w:r>
      <w:r w:rsidR="0089461E" w:rsidRPr="00EE6377">
        <w:rPr>
          <w:rFonts w:cs="Times New Roman"/>
          <w:sz w:val="22"/>
          <w:szCs w:val="22"/>
        </w:rPr>
        <w:t xml:space="preserve">) </w:t>
      </w:r>
      <w:r w:rsidRPr="00EE6377">
        <w:rPr>
          <w:rFonts w:cs="Times New Roman"/>
          <w:sz w:val="22"/>
          <w:szCs w:val="22"/>
        </w:rPr>
        <w:t>e 3</w:t>
      </w:r>
      <w:r w:rsidR="00AF3485" w:rsidRPr="00EE6377">
        <w:rPr>
          <w:rFonts w:cs="Times New Roman"/>
          <w:sz w:val="22"/>
          <w:szCs w:val="22"/>
        </w:rPr>
        <w:t xml:space="preserve"> del </w:t>
      </w:r>
      <w:r w:rsidRPr="00EE6377">
        <w:rPr>
          <w:rFonts w:cs="Times New Roman"/>
          <w:sz w:val="22"/>
          <w:szCs w:val="22"/>
        </w:rPr>
        <w:t>2014</w:t>
      </w:r>
      <w:r w:rsidR="0089461E" w:rsidRPr="00EE6377">
        <w:rPr>
          <w:rFonts w:cs="Times New Roman"/>
          <w:sz w:val="22"/>
          <w:szCs w:val="22"/>
        </w:rPr>
        <w:t xml:space="preserve"> (autotrasporto e facchinaggio)</w:t>
      </w:r>
      <w:r w:rsidRPr="00EE6377">
        <w:rPr>
          <w:rFonts w:cs="Times New Roman"/>
          <w:sz w:val="22"/>
          <w:szCs w:val="22"/>
        </w:rPr>
        <w:t>.</w:t>
      </w:r>
    </w:p>
    <w:p w:rsidR="00AF3485" w:rsidRPr="00EE6377" w:rsidRDefault="00AF3485" w:rsidP="005D5065">
      <w:pPr>
        <w:pStyle w:val="Standard"/>
        <w:spacing w:line="360" w:lineRule="auto"/>
        <w:rPr>
          <w:rFonts w:cs="Times New Roman"/>
          <w:sz w:val="22"/>
          <w:szCs w:val="22"/>
        </w:rPr>
      </w:pPr>
      <w:bookmarkStart w:id="0" w:name="_GoBack"/>
      <w:bookmarkEnd w:id="0"/>
    </w:p>
    <w:p w:rsidR="006221B7" w:rsidRPr="00EE6377" w:rsidRDefault="00932839" w:rsidP="005D5065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EE6377">
        <w:rPr>
          <w:rFonts w:cs="Times New Roman"/>
          <w:sz w:val="22"/>
          <w:szCs w:val="22"/>
        </w:rPr>
        <w:t>Il sisma emiliano del 2012</w:t>
      </w:r>
      <w:r w:rsidR="00AF3485" w:rsidRPr="00EE6377">
        <w:rPr>
          <w:rFonts w:cs="Times New Roman"/>
          <w:sz w:val="22"/>
          <w:szCs w:val="22"/>
        </w:rPr>
        <w:t xml:space="preserve"> </w:t>
      </w:r>
      <w:r w:rsidRPr="00EE6377">
        <w:rPr>
          <w:rFonts w:cs="Times New Roman"/>
          <w:sz w:val="22"/>
          <w:szCs w:val="22"/>
        </w:rPr>
        <w:t>ha evidenziato l'esigenza di una forte accelerazione nell</w:t>
      </w:r>
      <w:r w:rsidR="00AF3485" w:rsidRPr="00EE6377">
        <w:rPr>
          <w:rFonts w:cs="Times New Roman"/>
          <w:sz w:val="22"/>
          <w:szCs w:val="22"/>
        </w:rPr>
        <w:t>’</w:t>
      </w:r>
      <w:r w:rsidRPr="00EE6377">
        <w:rPr>
          <w:rFonts w:cs="Times New Roman"/>
          <w:sz w:val="22"/>
          <w:szCs w:val="22"/>
        </w:rPr>
        <w:t>adozione di strumenti normativi idonei a consentire la ripresa delle attività in tempi il più possibile celeri.</w:t>
      </w:r>
    </w:p>
    <w:p w:rsidR="006221B7" w:rsidRPr="00EE6377" w:rsidRDefault="00AF3485" w:rsidP="005D5065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  <w:lang w:eastAsia="en-US"/>
        </w:rPr>
      </w:pPr>
      <w:r w:rsidRPr="00EE6377">
        <w:rPr>
          <w:rFonts w:eastAsia="Calibri" w:cs="Times New Roman"/>
          <w:sz w:val="22"/>
          <w:szCs w:val="22"/>
          <w:lang w:eastAsia="en-US"/>
        </w:rPr>
        <w:t>I</w:t>
      </w:r>
      <w:r w:rsidR="00932839" w:rsidRPr="00EE6377">
        <w:rPr>
          <w:rFonts w:eastAsia="Calibri" w:cs="Times New Roman"/>
          <w:sz w:val="22"/>
          <w:szCs w:val="22"/>
          <w:lang w:eastAsia="en-US"/>
        </w:rPr>
        <w:t xml:space="preserve">l Commissario </w:t>
      </w:r>
      <w:r w:rsidRPr="00EE6377">
        <w:rPr>
          <w:rFonts w:eastAsia="Calibri" w:cs="Times New Roman"/>
          <w:sz w:val="22"/>
          <w:szCs w:val="22"/>
          <w:lang w:eastAsia="en-US"/>
        </w:rPr>
        <w:t>d</w:t>
      </w:r>
      <w:r w:rsidR="00932839" w:rsidRPr="00EE6377">
        <w:rPr>
          <w:rFonts w:eastAsia="Calibri" w:cs="Times New Roman"/>
          <w:sz w:val="22"/>
          <w:szCs w:val="22"/>
          <w:lang w:eastAsia="en-US"/>
        </w:rPr>
        <w:t>elegato e le strutture tecniche di riferimento opera</w:t>
      </w:r>
      <w:r w:rsidRPr="00EE6377">
        <w:rPr>
          <w:rFonts w:eastAsia="Calibri" w:cs="Times New Roman"/>
          <w:sz w:val="22"/>
          <w:szCs w:val="22"/>
          <w:lang w:eastAsia="en-US"/>
        </w:rPr>
        <w:t>n</w:t>
      </w:r>
      <w:r w:rsidR="00932839" w:rsidRPr="00EE6377">
        <w:rPr>
          <w:rFonts w:eastAsia="Calibri" w:cs="Times New Roman"/>
          <w:sz w:val="22"/>
          <w:szCs w:val="22"/>
          <w:lang w:eastAsia="en-US"/>
        </w:rPr>
        <w:t xml:space="preserve">o in raccordo costante con il Ministero dell'Interno, con il </w:t>
      </w:r>
      <w:proofErr w:type="spellStart"/>
      <w:r w:rsidR="00932839" w:rsidRPr="00EE6377">
        <w:rPr>
          <w:rFonts w:eastAsia="Calibri" w:cs="Times New Roman"/>
          <w:sz w:val="22"/>
          <w:szCs w:val="22"/>
          <w:lang w:eastAsia="en-US"/>
        </w:rPr>
        <w:t>G</w:t>
      </w:r>
      <w:r w:rsidRPr="00EE6377">
        <w:rPr>
          <w:rFonts w:eastAsia="Calibri" w:cs="Times New Roman"/>
          <w:sz w:val="22"/>
          <w:szCs w:val="22"/>
          <w:lang w:eastAsia="en-US"/>
        </w:rPr>
        <w:t>irer</w:t>
      </w:r>
      <w:proofErr w:type="spellEnd"/>
      <w:r w:rsidR="00932839" w:rsidRPr="00EE6377">
        <w:rPr>
          <w:rFonts w:eastAsia="Calibri" w:cs="Times New Roman"/>
          <w:sz w:val="22"/>
          <w:szCs w:val="22"/>
          <w:lang w:eastAsia="en-US"/>
        </w:rPr>
        <w:t xml:space="preserve"> (Gruppo </w:t>
      </w:r>
      <w:r w:rsidRPr="00EE6377">
        <w:rPr>
          <w:rFonts w:eastAsia="Calibri" w:cs="Times New Roman"/>
          <w:sz w:val="22"/>
          <w:szCs w:val="22"/>
          <w:lang w:eastAsia="en-US"/>
        </w:rPr>
        <w:t>i</w:t>
      </w:r>
      <w:r w:rsidR="00932839" w:rsidRPr="00EE6377">
        <w:rPr>
          <w:rFonts w:eastAsia="Calibri" w:cs="Times New Roman"/>
          <w:sz w:val="22"/>
          <w:szCs w:val="22"/>
          <w:lang w:eastAsia="en-US"/>
        </w:rPr>
        <w:t xml:space="preserve">nterforze </w:t>
      </w:r>
      <w:r w:rsidRPr="00EE6377">
        <w:rPr>
          <w:rFonts w:eastAsia="Calibri" w:cs="Times New Roman"/>
          <w:sz w:val="22"/>
          <w:szCs w:val="22"/>
          <w:lang w:eastAsia="en-US"/>
        </w:rPr>
        <w:t>r</w:t>
      </w:r>
      <w:r w:rsidR="00932839" w:rsidRPr="00EE6377">
        <w:rPr>
          <w:rFonts w:eastAsia="Calibri" w:cs="Times New Roman"/>
          <w:sz w:val="22"/>
          <w:szCs w:val="22"/>
          <w:lang w:eastAsia="en-US"/>
        </w:rPr>
        <w:t>egione Emilia-Romagna) e con le Prefetture regionali.</w:t>
      </w:r>
    </w:p>
    <w:p w:rsidR="00AF3485" w:rsidRPr="00EE6377" w:rsidRDefault="00AF3485" w:rsidP="005D5065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6221B7" w:rsidRPr="00EE6377" w:rsidRDefault="00932839" w:rsidP="0034417B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EE6377">
        <w:rPr>
          <w:rFonts w:cs="Times New Roman"/>
          <w:sz w:val="22"/>
          <w:szCs w:val="22"/>
        </w:rPr>
        <w:t>In materia di controlli antimafia l'attività si è svolta all’interno d</w:t>
      </w:r>
      <w:r w:rsidR="0034417B" w:rsidRPr="00EE6377">
        <w:rPr>
          <w:rFonts w:cs="Times New Roman"/>
          <w:sz w:val="22"/>
          <w:szCs w:val="22"/>
        </w:rPr>
        <w:t xml:space="preserve">i un complesso </w:t>
      </w:r>
      <w:r w:rsidRPr="00EE6377">
        <w:rPr>
          <w:rFonts w:cs="Times New Roman"/>
          <w:sz w:val="22"/>
          <w:szCs w:val="22"/>
        </w:rPr>
        <w:t>quadro normativo</w:t>
      </w:r>
      <w:r w:rsidR="0034417B" w:rsidRPr="00EE6377">
        <w:rPr>
          <w:rFonts w:cs="Times New Roman"/>
          <w:sz w:val="22"/>
          <w:szCs w:val="22"/>
        </w:rPr>
        <w:t xml:space="preserve">, comprendente tra l’altro il </w:t>
      </w:r>
      <w:r w:rsidRPr="00EE6377">
        <w:rPr>
          <w:rFonts w:cs="Times New Roman"/>
          <w:sz w:val="22"/>
          <w:szCs w:val="22"/>
        </w:rPr>
        <w:t>Protocollo di legalità sottoscritto tra Regione E</w:t>
      </w:r>
      <w:r w:rsidR="00AF3485" w:rsidRPr="00EE6377">
        <w:rPr>
          <w:rFonts w:cs="Times New Roman"/>
          <w:sz w:val="22"/>
          <w:szCs w:val="22"/>
        </w:rPr>
        <w:t>milia-Romagna,</w:t>
      </w:r>
      <w:r w:rsidRPr="00EE6377">
        <w:rPr>
          <w:rFonts w:cs="Times New Roman"/>
          <w:sz w:val="22"/>
          <w:szCs w:val="22"/>
        </w:rPr>
        <w:t xml:space="preserve"> Prefetti e  Ministro degli Interni </w:t>
      </w:r>
      <w:r w:rsidR="0034417B" w:rsidRPr="00EE6377">
        <w:rPr>
          <w:rFonts w:cs="Times New Roman"/>
          <w:sz w:val="22"/>
          <w:szCs w:val="22"/>
        </w:rPr>
        <w:t>(</w:t>
      </w:r>
      <w:r w:rsidRPr="00EE6377">
        <w:rPr>
          <w:rFonts w:cs="Times New Roman"/>
          <w:sz w:val="22"/>
          <w:szCs w:val="22"/>
        </w:rPr>
        <w:t>2010 e 2012</w:t>
      </w:r>
      <w:r w:rsidR="0034417B" w:rsidRPr="00EE6377">
        <w:rPr>
          <w:rFonts w:cs="Times New Roman"/>
          <w:sz w:val="22"/>
          <w:szCs w:val="22"/>
        </w:rPr>
        <w:t>), la creazione delle cosiddette White List (</w:t>
      </w:r>
      <w:r w:rsidRPr="00EE6377">
        <w:rPr>
          <w:rFonts w:cs="Times New Roman"/>
          <w:sz w:val="22"/>
          <w:szCs w:val="22"/>
        </w:rPr>
        <w:t>D</w:t>
      </w:r>
      <w:r w:rsidR="00AF3485" w:rsidRPr="00EE6377">
        <w:rPr>
          <w:rFonts w:cs="Times New Roman"/>
          <w:sz w:val="22"/>
          <w:szCs w:val="22"/>
        </w:rPr>
        <w:t>ecreto legge</w:t>
      </w:r>
      <w:r w:rsidRPr="00EE6377">
        <w:rPr>
          <w:rFonts w:cs="Times New Roman"/>
          <w:sz w:val="22"/>
          <w:szCs w:val="22"/>
        </w:rPr>
        <w:t xml:space="preserve"> 74</w:t>
      </w:r>
      <w:r w:rsidR="00AF3485" w:rsidRPr="00EE6377">
        <w:rPr>
          <w:rFonts w:cs="Times New Roman"/>
          <w:sz w:val="22"/>
          <w:szCs w:val="22"/>
        </w:rPr>
        <w:t xml:space="preserve"> del </w:t>
      </w:r>
      <w:r w:rsidRPr="00EE6377">
        <w:rPr>
          <w:rFonts w:cs="Times New Roman"/>
          <w:sz w:val="22"/>
          <w:szCs w:val="22"/>
        </w:rPr>
        <w:t>2012 che istituisce elenchi di fornitori, prestatori di servizi ed esecutori lavori</w:t>
      </w:r>
      <w:r w:rsidR="0034417B" w:rsidRPr="00EE6377">
        <w:rPr>
          <w:rFonts w:cs="Times New Roman"/>
          <w:sz w:val="22"/>
          <w:szCs w:val="22"/>
        </w:rPr>
        <w:t>),</w:t>
      </w:r>
      <w:r w:rsidR="0034417B" w:rsidRPr="00EE6377">
        <w:rPr>
          <w:rFonts w:eastAsia="Calibri" w:cs="Times New Roman"/>
          <w:sz w:val="22"/>
          <w:szCs w:val="22"/>
          <w:lang w:eastAsia="en-US"/>
        </w:rPr>
        <w:t xml:space="preserve"> l</w:t>
      </w:r>
      <w:r w:rsidRPr="00EE6377">
        <w:rPr>
          <w:rFonts w:eastAsia="Calibri" w:cs="Times New Roman"/>
          <w:sz w:val="22"/>
          <w:szCs w:val="22"/>
          <w:lang w:eastAsia="en-US"/>
        </w:rPr>
        <w:t xml:space="preserve">inee </w:t>
      </w:r>
      <w:r w:rsidR="0034417B" w:rsidRPr="00EE6377">
        <w:rPr>
          <w:rFonts w:eastAsia="Calibri" w:cs="Times New Roman"/>
          <w:sz w:val="22"/>
          <w:szCs w:val="22"/>
          <w:lang w:eastAsia="en-US"/>
        </w:rPr>
        <w:t>g</w:t>
      </w:r>
      <w:r w:rsidRPr="00EE6377">
        <w:rPr>
          <w:rFonts w:eastAsia="Calibri" w:cs="Times New Roman"/>
          <w:sz w:val="22"/>
          <w:szCs w:val="22"/>
          <w:lang w:eastAsia="en-US"/>
        </w:rPr>
        <w:t xml:space="preserve">uida </w:t>
      </w:r>
      <w:proofErr w:type="spellStart"/>
      <w:r w:rsidRPr="00EE6377">
        <w:rPr>
          <w:rFonts w:eastAsia="Calibri" w:cs="Times New Roman"/>
          <w:sz w:val="22"/>
          <w:szCs w:val="22"/>
          <w:lang w:eastAsia="en-US"/>
        </w:rPr>
        <w:t>C</w:t>
      </w:r>
      <w:r w:rsidR="00AF3485" w:rsidRPr="00EE6377">
        <w:rPr>
          <w:rFonts w:eastAsia="Calibri" w:cs="Times New Roman"/>
          <w:sz w:val="22"/>
          <w:szCs w:val="22"/>
          <w:lang w:eastAsia="en-US"/>
        </w:rPr>
        <w:t>asgo</w:t>
      </w:r>
      <w:proofErr w:type="spellEnd"/>
      <w:r w:rsidRPr="00EE6377">
        <w:rPr>
          <w:rFonts w:eastAsia="Calibri" w:cs="Times New Roman"/>
          <w:sz w:val="22"/>
          <w:szCs w:val="22"/>
          <w:lang w:eastAsia="en-US"/>
        </w:rPr>
        <w:t xml:space="preserve"> (Comitato </w:t>
      </w:r>
      <w:r w:rsidR="00AF3485" w:rsidRPr="00EE6377">
        <w:rPr>
          <w:rFonts w:eastAsia="Calibri" w:cs="Times New Roman"/>
          <w:sz w:val="22"/>
          <w:szCs w:val="22"/>
          <w:lang w:eastAsia="en-US"/>
        </w:rPr>
        <w:t>a</w:t>
      </w:r>
      <w:r w:rsidRPr="00EE6377">
        <w:rPr>
          <w:rFonts w:eastAsia="Calibri" w:cs="Times New Roman"/>
          <w:sz w:val="22"/>
          <w:szCs w:val="22"/>
          <w:lang w:eastAsia="en-US"/>
        </w:rPr>
        <w:t xml:space="preserve">lta </w:t>
      </w:r>
      <w:r w:rsidR="00AF3485" w:rsidRPr="00EE6377">
        <w:rPr>
          <w:rFonts w:eastAsia="Calibri" w:cs="Times New Roman"/>
          <w:sz w:val="22"/>
          <w:szCs w:val="22"/>
          <w:lang w:eastAsia="en-US"/>
        </w:rPr>
        <w:t>s</w:t>
      </w:r>
      <w:r w:rsidRPr="00EE6377">
        <w:rPr>
          <w:rFonts w:eastAsia="Calibri" w:cs="Times New Roman"/>
          <w:sz w:val="22"/>
          <w:szCs w:val="22"/>
          <w:lang w:eastAsia="en-US"/>
        </w:rPr>
        <w:t xml:space="preserve">orveglianza </w:t>
      </w:r>
      <w:r w:rsidR="00AF3485" w:rsidRPr="00EE6377">
        <w:rPr>
          <w:rFonts w:eastAsia="Calibri" w:cs="Times New Roman"/>
          <w:sz w:val="22"/>
          <w:szCs w:val="22"/>
          <w:lang w:eastAsia="en-US"/>
        </w:rPr>
        <w:t>g</w:t>
      </w:r>
      <w:r w:rsidRPr="00EE6377">
        <w:rPr>
          <w:rFonts w:eastAsia="Calibri" w:cs="Times New Roman"/>
          <w:sz w:val="22"/>
          <w:szCs w:val="22"/>
          <w:lang w:eastAsia="en-US"/>
        </w:rPr>
        <w:t xml:space="preserve">randi </w:t>
      </w:r>
      <w:r w:rsidR="00AF3485" w:rsidRPr="00EE6377">
        <w:rPr>
          <w:rFonts w:eastAsia="Calibri" w:cs="Times New Roman"/>
          <w:sz w:val="22"/>
          <w:szCs w:val="22"/>
          <w:lang w:eastAsia="en-US"/>
        </w:rPr>
        <w:t>o</w:t>
      </w:r>
      <w:r w:rsidRPr="00EE6377">
        <w:rPr>
          <w:rFonts w:eastAsia="Calibri" w:cs="Times New Roman"/>
          <w:sz w:val="22"/>
          <w:szCs w:val="22"/>
          <w:lang w:eastAsia="en-US"/>
        </w:rPr>
        <w:t xml:space="preserve">pere) approvate </w:t>
      </w:r>
      <w:r w:rsidR="0034417B" w:rsidRPr="00EE6377">
        <w:rPr>
          <w:rFonts w:eastAsia="Calibri" w:cs="Times New Roman"/>
          <w:sz w:val="22"/>
          <w:szCs w:val="22"/>
          <w:lang w:eastAsia="en-US"/>
        </w:rPr>
        <w:t>nel</w:t>
      </w:r>
      <w:r w:rsidRPr="00EE6377">
        <w:rPr>
          <w:rFonts w:eastAsia="Calibri" w:cs="Times New Roman"/>
          <w:sz w:val="22"/>
          <w:szCs w:val="22"/>
          <w:lang w:eastAsia="en-US"/>
        </w:rPr>
        <w:t xml:space="preserve"> 2012</w:t>
      </w:r>
      <w:r w:rsidRPr="00EE6377">
        <w:rPr>
          <w:rFonts w:cs="Times New Roman"/>
          <w:sz w:val="22"/>
          <w:szCs w:val="22"/>
        </w:rPr>
        <w:t>.</w:t>
      </w:r>
    </w:p>
    <w:p w:rsidR="006221B7" w:rsidRPr="00EE6377" w:rsidRDefault="006221B7" w:rsidP="005D5065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6221B7" w:rsidRPr="00EE6377" w:rsidRDefault="00932839" w:rsidP="005D5065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EE6377">
        <w:rPr>
          <w:rFonts w:cs="Times New Roman"/>
          <w:b/>
          <w:sz w:val="22"/>
          <w:szCs w:val="22"/>
        </w:rPr>
        <w:t>L'attività di controllo</w:t>
      </w:r>
      <w:r w:rsidRPr="00EE6377">
        <w:rPr>
          <w:rFonts w:cs="Times New Roman"/>
          <w:sz w:val="22"/>
          <w:szCs w:val="22"/>
        </w:rPr>
        <w:t xml:space="preserve"> condotta dalle Prefetture, relativamente all'attività svolta dal Comm</w:t>
      </w:r>
      <w:r w:rsidR="00EC6E97" w:rsidRPr="00EE6377">
        <w:rPr>
          <w:rFonts w:cs="Times New Roman"/>
          <w:sz w:val="22"/>
          <w:szCs w:val="22"/>
        </w:rPr>
        <w:t>issario in qualità di Stazione a</w:t>
      </w:r>
      <w:r w:rsidRPr="00EE6377">
        <w:rPr>
          <w:rFonts w:cs="Times New Roman"/>
          <w:sz w:val="22"/>
          <w:szCs w:val="22"/>
        </w:rPr>
        <w:t xml:space="preserve">ppaltante ha portato ai seguenti dati </w:t>
      </w:r>
      <w:r w:rsidR="0026036D" w:rsidRPr="00EE6377">
        <w:rPr>
          <w:rFonts w:cs="Times New Roman"/>
          <w:sz w:val="22"/>
          <w:szCs w:val="22"/>
        </w:rPr>
        <w:t>d</w:t>
      </w:r>
      <w:r w:rsidRPr="00EE6377">
        <w:rPr>
          <w:rFonts w:cs="Times New Roman"/>
          <w:sz w:val="22"/>
          <w:szCs w:val="22"/>
        </w:rPr>
        <w:t>i sintesi</w:t>
      </w:r>
      <w:r w:rsidR="00EC6E97" w:rsidRPr="00EE6377">
        <w:rPr>
          <w:rFonts w:cs="Times New Roman"/>
          <w:sz w:val="22"/>
          <w:szCs w:val="22"/>
        </w:rPr>
        <w:t xml:space="preserve"> dal 2012 a oggi</w:t>
      </w:r>
      <w:r w:rsidR="00AF3485" w:rsidRPr="00EE6377">
        <w:rPr>
          <w:rFonts w:cs="Times New Roman"/>
          <w:sz w:val="22"/>
          <w:szCs w:val="22"/>
        </w:rPr>
        <w:t>:</w:t>
      </w:r>
    </w:p>
    <w:p w:rsidR="00420745" w:rsidRPr="00EE6377" w:rsidRDefault="00420745" w:rsidP="005D5065">
      <w:pPr>
        <w:pStyle w:val="Standard"/>
        <w:spacing w:line="360" w:lineRule="auto"/>
        <w:rPr>
          <w:rFonts w:cs="Times New Roman"/>
          <w:sz w:val="22"/>
          <w:szCs w:val="22"/>
        </w:rPr>
      </w:pPr>
    </w:p>
    <w:tbl>
      <w:tblPr>
        <w:tblW w:w="97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3367"/>
      </w:tblGrid>
      <w:tr w:rsidR="006221B7" w:rsidRPr="00EE6377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34417B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E6377">
              <w:rPr>
                <w:rFonts w:cs="Times New Roman"/>
                <w:b/>
                <w:sz w:val="22"/>
                <w:szCs w:val="22"/>
              </w:rPr>
              <w:t xml:space="preserve">Istanze </w:t>
            </w:r>
            <w:r w:rsidR="0034417B" w:rsidRPr="00EE6377">
              <w:rPr>
                <w:rFonts w:cs="Times New Roman"/>
                <w:b/>
                <w:sz w:val="22"/>
                <w:szCs w:val="22"/>
              </w:rPr>
              <w:t>de</w:t>
            </w:r>
            <w:r w:rsidR="00EC6E97" w:rsidRPr="00EE6377">
              <w:rPr>
                <w:rFonts w:cs="Times New Roman"/>
                <w:b/>
                <w:sz w:val="22"/>
                <w:szCs w:val="22"/>
              </w:rPr>
              <w:t xml:space="preserve">lle ditte per essere iscritte alla </w:t>
            </w:r>
            <w:r w:rsidR="0034417B" w:rsidRPr="00EE6377">
              <w:rPr>
                <w:rFonts w:cs="Times New Roman"/>
                <w:b/>
                <w:sz w:val="22"/>
                <w:szCs w:val="22"/>
              </w:rPr>
              <w:t>W</w:t>
            </w:r>
            <w:r w:rsidR="00EC6E97" w:rsidRPr="00EE6377">
              <w:rPr>
                <w:rFonts w:cs="Times New Roman"/>
                <w:b/>
                <w:sz w:val="22"/>
                <w:szCs w:val="22"/>
              </w:rPr>
              <w:t xml:space="preserve">hite </w:t>
            </w:r>
            <w:r w:rsidR="0034417B" w:rsidRPr="00EE6377">
              <w:rPr>
                <w:rFonts w:cs="Times New Roman"/>
                <w:b/>
                <w:sz w:val="22"/>
                <w:szCs w:val="22"/>
              </w:rPr>
              <w:t>L</w:t>
            </w:r>
            <w:r w:rsidR="00EC6E97" w:rsidRPr="00EE6377">
              <w:rPr>
                <w:rFonts w:cs="Times New Roman"/>
                <w:b/>
                <w:sz w:val="22"/>
                <w:szCs w:val="22"/>
              </w:rPr>
              <w:t>ist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E6377">
              <w:rPr>
                <w:rFonts w:cs="Times New Roman"/>
                <w:sz w:val="22"/>
                <w:szCs w:val="22"/>
              </w:rPr>
              <w:t>3.280</w:t>
            </w:r>
          </w:p>
        </w:tc>
      </w:tr>
      <w:tr w:rsidR="006221B7" w:rsidRPr="00EE6377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E6377">
              <w:rPr>
                <w:rFonts w:cs="Times New Roman"/>
                <w:b/>
                <w:sz w:val="22"/>
                <w:szCs w:val="22"/>
              </w:rPr>
              <w:t>Ditte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E6377">
              <w:rPr>
                <w:rFonts w:cs="Times New Roman"/>
                <w:sz w:val="22"/>
                <w:szCs w:val="22"/>
              </w:rPr>
              <w:t>1.488</w:t>
            </w:r>
          </w:p>
        </w:tc>
      </w:tr>
      <w:tr w:rsidR="006221B7" w:rsidRPr="00EE6377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E6377">
              <w:rPr>
                <w:rFonts w:cs="Times New Roman"/>
                <w:b/>
                <w:sz w:val="22"/>
                <w:szCs w:val="22"/>
              </w:rPr>
              <w:t xml:space="preserve">Totale richieste </w:t>
            </w:r>
            <w:r w:rsidR="00003F5B" w:rsidRPr="00EE6377">
              <w:rPr>
                <w:rFonts w:cs="Times New Roman"/>
                <w:b/>
                <w:sz w:val="22"/>
                <w:szCs w:val="22"/>
              </w:rPr>
              <w:t>del Commissario d’</w:t>
            </w:r>
            <w:r w:rsidRPr="00EE6377">
              <w:rPr>
                <w:rFonts w:cs="Times New Roman"/>
                <w:b/>
                <w:sz w:val="22"/>
                <w:szCs w:val="22"/>
              </w:rPr>
              <w:t>informative antimafia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E6377">
              <w:rPr>
                <w:rFonts w:cs="Times New Roman"/>
                <w:sz w:val="22"/>
                <w:szCs w:val="22"/>
              </w:rPr>
              <w:t>1.115</w:t>
            </w:r>
          </w:p>
        </w:tc>
      </w:tr>
      <w:tr w:rsidR="006221B7" w:rsidRPr="00EE6377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E6377">
              <w:rPr>
                <w:rFonts w:cs="Times New Roman"/>
                <w:b/>
                <w:sz w:val="22"/>
                <w:szCs w:val="22"/>
              </w:rPr>
              <w:t>Risposte positive Prefetture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E6377">
              <w:rPr>
                <w:rFonts w:cs="Times New Roman"/>
                <w:sz w:val="22"/>
                <w:szCs w:val="22"/>
              </w:rPr>
              <w:t>666</w:t>
            </w:r>
          </w:p>
        </w:tc>
      </w:tr>
      <w:tr w:rsidR="006221B7" w:rsidRPr="00EE6377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E6377">
              <w:rPr>
                <w:rFonts w:cs="Times New Roman"/>
                <w:b/>
                <w:sz w:val="22"/>
                <w:szCs w:val="22"/>
              </w:rPr>
              <w:t>Risposte negative Prefetture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E6377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6221B7" w:rsidRPr="00EE6377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E6377">
              <w:rPr>
                <w:rFonts w:cs="Times New Roman"/>
                <w:b/>
                <w:sz w:val="22"/>
                <w:szCs w:val="22"/>
              </w:rPr>
              <w:t xml:space="preserve">Percentuale totale ditte </w:t>
            </w:r>
            <w:r w:rsidR="00D425BA" w:rsidRPr="00EE6377">
              <w:rPr>
                <w:rFonts w:cs="Times New Roman"/>
                <w:b/>
                <w:sz w:val="22"/>
                <w:szCs w:val="22"/>
              </w:rPr>
              <w:t>–</w:t>
            </w:r>
            <w:r w:rsidRPr="00EE637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6377">
              <w:rPr>
                <w:rFonts w:cs="Times New Roman"/>
                <w:b/>
                <w:sz w:val="22"/>
                <w:szCs w:val="22"/>
              </w:rPr>
              <w:t>interdittive</w:t>
            </w:r>
            <w:proofErr w:type="spellEnd"/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932839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EE6377">
              <w:rPr>
                <w:rFonts w:cs="Times New Roman"/>
                <w:sz w:val="22"/>
                <w:szCs w:val="22"/>
              </w:rPr>
              <w:t>0,60%</w:t>
            </w:r>
          </w:p>
        </w:tc>
      </w:tr>
      <w:tr w:rsidR="006221B7" w:rsidRPr="00EE6377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6221B7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6221B7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221B7" w:rsidRPr="00EE6377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6221B7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B7" w:rsidRPr="00EE6377" w:rsidRDefault="006221B7" w:rsidP="005D506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6221B7" w:rsidRPr="00EE6377" w:rsidRDefault="00D425BA" w:rsidP="005D5065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EE6377">
        <w:rPr>
          <w:rFonts w:cs="Times New Roman"/>
          <w:sz w:val="22"/>
          <w:szCs w:val="22"/>
        </w:rPr>
        <w:t>D</w:t>
      </w:r>
      <w:r w:rsidR="00932839" w:rsidRPr="00EE6377">
        <w:rPr>
          <w:rFonts w:cs="Times New Roman"/>
          <w:sz w:val="22"/>
          <w:szCs w:val="22"/>
        </w:rPr>
        <w:t xml:space="preserve">ei 220 milioni di spesa complessiva sostenuta per lavori </w:t>
      </w:r>
      <w:r w:rsidR="00003F5B" w:rsidRPr="00EE6377">
        <w:rPr>
          <w:rFonts w:cs="Times New Roman"/>
          <w:sz w:val="22"/>
          <w:szCs w:val="22"/>
        </w:rPr>
        <w:t xml:space="preserve">dal Commissario come Stazione appaltante, </w:t>
      </w:r>
      <w:r w:rsidR="00932839" w:rsidRPr="00EE6377">
        <w:rPr>
          <w:rFonts w:cs="Times New Roman"/>
          <w:sz w:val="22"/>
          <w:szCs w:val="22"/>
        </w:rPr>
        <w:t xml:space="preserve">l’importo dei lavori eseguiti dalle imprese interdette </w:t>
      </w:r>
      <w:r w:rsidR="00003F5B" w:rsidRPr="00EE6377">
        <w:rPr>
          <w:rFonts w:cs="Times New Roman"/>
          <w:sz w:val="22"/>
          <w:szCs w:val="22"/>
        </w:rPr>
        <w:t>d</w:t>
      </w:r>
      <w:r w:rsidR="00932839" w:rsidRPr="00EE6377">
        <w:rPr>
          <w:rFonts w:cs="Times New Roman"/>
          <w:sz w:val="22"/>
          <w:szCs w:val="22"/>
        </w:rPr>
        <w:t>alla W</w:t>
      </w:r>
      <w:r w:rsidR="00EC6E97" w:rsidRPr="00EE6377">
        <w:rPr>
          <w:rFonts w:cs="Times New Roman"/>
          <w:sz w:val="22"/>
          <w:szCs w:val="22"/>
        </w:rPr>
        <w:t>hite List</w:t>
      </w:r>
      <w:r w:rsidR="00932839" w:rsidRPr="00EE6377">
        <w:rPr>
          <w:rFonts w:cs="Times New Roman"/>
          <w:sz w:val="22"/>
          <w:szCs w:val="22"/>
        </w:rPr>
        <w:t xml:space="preserve"> è di circa 1,5 milioni di euro </w:t>
      </w:r>
      <w:r w:rsidR="00003F5B" w:rsidRPr="00EE6377">
        <w:rPr>
          <w:rFonts w:cs="Times New Roman"/>
          <w:sz w:val="22"/>
          <w:szCs w:val="22"/>
        </w:rPr>
        <w:t>(</w:t>
      </w:r>
      <w:r w:rsidR="00932839" w:rsidRPr="00EE6377">
        <w:rPr>
          <w:rFonts w:cs="Times New Roman"/>
          <w:sz w:val="22"/>
          <w:szCs w:val="22"/>
        </w:rPr>
        <w:t xml:space="preserve">in percentuale </w:t>
      </w:r>
      <w:r w:rsidR="00003F5B" w:rsidRPr="00EE6377">
        <w:rPr>
          <w:rFonts w:cs="Times New Roman"/>
          <w:sz w:val="22"/>
          <w:szCs w:val="22"/>
        </w:rPr>
        <w:t>l</w:t>
      </w:r>
      <w:r w:rsidR="00932839" w:rsidRPr="00EE6377">
        <w:rPr>
          <w:rFonts w:cs="Times New Roman"/>
          <w:sz w:val="22"/>
          <w:szCs w:val="22"/>
        </w:rPr>
        <w:t>o 0,68%</w:t>
      </w:r>
      <w:r w:rsidR="00003F5B" w:rsidRPr="00EE6377">
        <w:rPr>
          <w:rFonts w:cs="Times New Roman"/>
          <w:sz w:val="22"/>
          <w:szCs w:val="22"/>
        </w:rPr>
        <w:t>)</w:t>
      </w:r>
      <w:r w:rsidR="00932839" w:rsidRPr="00EE6377">
        <w:rPr>
          <w:rFonts w:cs="Times New Roman"/>
          <w:sz w:val="22"/>
          <w:szCs w:val="22"/>
        </w:rPr>
        <w:t>.</w:t>
      </w:r>
    </w:p>
    <w:p w:rsidR="006221B7" w:rsidRPr="00EE6377" w:rsidRDefault="00003F5B" w:rsidP="005D5065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  <w:r w:rsidRPr="00EE6377">
        <w:rPr>
          <w:rFonts w:eastAsia="Calibri" w:cs="Times New Roman"/>
          <w:sz w:val="22"/>
          <w:szCs w:val="22"/>
          <w:lang w:eastAsia="en-US"/>
        </w:rPr>
        <w:t>S</w:t>
      </w:r>
      <w:r w:rsidR="00932839" w:rsidRPr="00EE6377">
        <w:rPr>
          <w:rFonts w:eastAsia="Calibri" w:cs="Times New Roman"/>
          <w:sz w:val="22"/>
          <w:szCs w:val="22"/>
          <w:lang w:eastAsia="en-US"/>
        </w:rPr>
        <w:t xml:space="preserve">ono poi stati adottati e attuati tramite Ordinanze </w:t>
      </w:r>
      <w:r w:rsidRPr="00EE6377">
        <w:rPr>
          <w:rFonts w:eastAsia="Calibri" w:cs="Times New Roman"/>
          <w:sz w:val="22"/>
          <w:szCs w:val="22"/>
          <w:lang w:eastAsia="en-US"/>
        </w:rPr>
        <w:t>c</w:t>
      </w:r>
      <w:r w:rsidR="00932839" w:rsidRPr="00EE6377">
        <w:rPr>
          <w:rFonts w:eastAsia="Calibri" w:cs="Times New Roman"/>
          <w:sz w:val="22"/>
          <w:szCs w:val="22"/>
          <w:lang w:eastAsia="en-US"/>
        </w:rPr>
        <w:t>ommissariali molti altri efficaci provvedimenti rivolti alla ricostruzione degli edifici privati (residenz</w:t>
      </w:r>
      <w:r w:rsidRPr="00EE6377">
        <w:rPr>
          <w:rFonts w:eastAsia="Calibri" w:cs="Times New Roman"/>
          <w:sz w:val="22"/>
          <w:szCs w:val="22"/>
          <w:lang w:eastAsia="en-US"/>
        </w:rPr>
        <w:t>e</w:t>
      </w:r>
      <w:r w:rsidR="00932839" w:rsidRPr="00EE6377">
        <w:rPr>
          <w:rFonts w:eastAsia="Calibri" w:cs="Times New Roman"/>
          <w:sz w:val="22"/>
          <w:szCs w:val="22"/>
          <w:lang w:eastAsia="en-US"/>
        </w:rPr>
        <w:t xml:space="preserve"> e attività produttive) e pubblici</w:t>
      </w:r>
      <w:r w:rsidRPr="00EE6377">
        <w:rPr>
          <w:rFonts w:eastAsia="Calibri" w:cs="Times New Roman"/>
          <w:sz w:val="22"/>
          <w:szCs w:val="22"/>
          <w:lang w:eastAsia="en-US"/>
        </w:rPr>
        <w:t xml:space="preserve">. Per </w:t>
      </w:r>
      <w:proofErr w:type="spellStart"/>
      <w:r w:rsidRPr="00EE6377">
        <w:rPr>
          <w:rFonts w:eastAsia="Calibri" w:cs="Times New Roman"/>
          <w:sz w:val="22"/>
          <w:szCs w:val="22"/>
          <w:lang w:eastAsia="en-US"/>
        </w:rPr>
        <w:t>esempiio</w:t>
      </w:r>
      <w:proofErr w:type="spellEnd"/>
      <w:r w:rsidRPr="00EE6377">
        <w:rPr>
          <w:rFonts w:eastAsia="Calibri" w:cs="Times New Roman"/>
          <w:sz w:val="22"/>
          <w:szCs w:val="22"/>
          <w:lang w:eastAsia="en-US"/>
        </w:rPr>
        <w:t xml:space="preserve"> </w:t>
      </w:r>
      <w:r w:rsidR="00932839" w:rsidRPr="00EE6377">
        <w:rPr>
          <w:rFonts w:eastAsia="Courier New" w:cs="Times New Roman"/>
          <w:sz w:val="22"/>
          <w:szCs w:val="22"/>
        </w:rPr>
        <w:t>l</w:t>
      </w:r>
      <w:r w:rsidR="00932839" w:rsidRPr="00EE6377">
        <w:rPr>
          <w:rFonts w:cs="Times New Roman"/>
          <w:sz w:val="22"/>
          <w:szCs w:val="22"/>
        </w:rPr>
        <w:t xml:space="preserve">'”Anagrafe degli </w:t>
      </w:r>
      <w:r w:rsidR="00932839" w:rsidRPr="00EE6377">
        <w:rPr>
          <w:rFonts w:cs="Times New Roman"/>
          <w:sz w:val="22"/>
          <w:szCs w:val="22"/>
        </w:rPr>
        <w:lastRenderedPageBreak/>
        <w:t xml:space="preserve">esecutori”,  strumento previsto dalla  "Linee  Guida antimafia” del Comitato </w:t>
      </w:r>
      <w:proofErr w:type="spellStart"/>
      <w:r w:rsidR="00932839" w:rsidRPr="00EE6377">
        <w:rPr>
          <w:rFonts w:cs="Times New Roman"/>
          <w:sz w:val="22"/>
          <w:szCs w:val="22"/>
        </w:rPr>
        <w:t>C</w:t>
      </w:r>
      <w:r w:rsidRPr="00EE6377">
        <w:rPr>
          <w:rFonts w:cs="Times New Roman"/>
          <w:sz w:val="22"/>
          <w:szCs w:val="22"/>
        </w:rPr>
        <w:t>asgo</w:t>
      </w:r>
      <w:proofErr w:type="spellEnd"/>
      <w:r w:rsidR="00932839" w:rsidRPr="00EE6377">
        <w:rPr>
          <w:rFonts w:cs="Times New Roman"/>
          <w:sz w:val="22"/>
          <w:szCs w:val="22"/>
        </w:rPr>
        <w:t xml:space="preserve">, che ha l'obiettivo di creare una anagrafica completa dell’impresa in modo da poter agevolare i committenti sia pubblici che privati negli affidamenti per una maggiore garanzia circa la legalità della stessa impresa. L’Anagrafe di fatto è un cubo di dati </w:t>
      </w:r>
      <w:r w:rsidRPr="00EE6377">
        <w:rPr>
          <w:rFonts w:cs="Times New Roman"/>
          <w:sz w:val="22"/>
          <w:szCs w:val="22"/>
        </w:rPr>
        <w:t>(</w:t>
      </w:r>
      <w:r w:rsidR="00932839" w:rsidRPr="00EE6377">
        <w:rPr>
          <w:rFonts w:cs="Times New Roman"/>
          <w:sz w:val="22"/>
          <w:szCs w:val="22"/>
        </w:rPr>
        <w:t>“</w:t>
      </w:r>
      <w:proofErr w:type="spellStart"/>
      <w:r w:rsidR="00932839" w:rsidRPr="00EE6377">
        <w:rPr>
          <w:rFonts w:cs="Times New Roman"/>
          <w:sz w:val="22"/>
          <w:szCs w:val="22"/>
        </w:rPr>
        <w:t>datawarehouse</w:t>
      </w:r>
      <w:proofErr w:type="spellEnd"/>
      <w:r w:rsidR="00932839" w:rsidRPr="00EE6377">
        <w:rPr>
          <w:rFonts w:cs="Times New Roman"/>
          <w:sz w:val="22"/>
          <w:szCs w:val="22"/>
        </w:rPr>
        <w:t>”</w:t>
      </w:r>
      <w:r w:rsidRPr="00EE6377">
        <w:rPr>
          <w:rFonts w:cs="Times New Roman"/>
          <w:sz w:val="22"/>
          <w:szCs w:val="22"/>
        </w:rPr>
        <w:t>)</w:t>
      </w:r>
      <w:r w:rsidR="00932839" w:rsidRPr="00EE6377">
        <w:rPr>
          <w:rFonts w:cs="Times New Roman"/>
          <w:sz w:val="22"/>
          <w:szCs w:val="22"/>
        </w:rPr>
        <w:t xml:space="preserve"> nel quale sono inserite tutte le informazioni presenti nelle varie banche dati già esistenti, quali S</w:t>
      </w:r>
      <w:r w:rsidRPr="00EE6377">
        <w:rPr>
          <w:rFonts w:cs="Times New Roman"/>
          <w:sz w:val="22"/>
          <w:szCs w:val="22"/>
        </w:rPr>
        <w:t>finge</w:t>
      </w:r>
      <w:r w:rsidR="00932839" w:rsidRPr="00EE6377">
        <w:rPr>
          <w:rFonts w:cs="Times New Roman"/>
          <w:sz w:val="22"/>
          <w:szCs w:val="22"/>
        </w:rPr>
        <w:t xml:space="preserve"> (</w:t>
      </w:r>
      <w:r w:rsidRPr="00EE6377">
        <w:rPr>
          <w:rFonts w:cs="Times New Roman"/>
          <w:sz w:val="22"/>
          <w:szCs w:val="22"/>
        </w:rPr>
        <w:t>r</w:t>
      </w:r>
      <w:r w:rsidR="00932839" w:rsidRPr="00EE6377">
        <w:rPr>
          <w:rFonts w:cs="Times New Roman"/>
          <w:sz w:val="22"/>
          <w:szCs w:val="22"/>
        </w:rPr>
        <w:t xml:space="preserve">icostruzione </w:t>
      </w:r>
      <w:r w:rsidRPr="00EE6377">
        <w:rPr>
          <w:rFonts w:cs="Times New Roman"/>
          <w:sz w:val="22"/>
          <w:szCs w:val="22"/>
        </w:rPr>
        <w:t>a</w:t>
      </w:r>
      <w:r w:rsidR="00932839" w:rsidRPr="00EE6377">
        <w:rPr>
          <w:rFonts w:cs="Times New Roman"/>
          <w:sz w:val="22"/>
          <w:szCs w:val="22"/>
        </w:rPr>
        <w:t xml:space="preserve">ttività </w:t>
      </w:r>
      <w:r w:rsidRPr="00EE6377">
        <w:rPr>
          <w:rFonts w:cs="Times New Roman"/>
          <w:sz w:val="22"/>
          <w:szCs w:val="22"/>
        </w:rPr>
        <w:t>p</w:t>
      </w:r>
      <w:r w:rsidR="00932839" w:rsidRPr="00EE6377">
        <w:rPr>
          <w:rFonts w:cs="Times New Roman"/>
          <w:sz w:val="22"/>
          <w:szCs w:val="22"/>
        </w:rPr>
        <w:t>roduttive), M</w:t>
      </w:r>
      <w:r w:rsidRPr="00EE6377">
        <w:rPr>
          <w:rFonts w:cs="Times New Roman"/>
          <w:sz w:val="22"/>
          <w:szCs w:val="22"/>
        </w:rPr>
        <w:t>ude</w:t>
      </w:r>
      <w:r w:rsidR="00932839" w:rsidRPr="00EE6377">
        <w:rPr>
          <w:rFonts w:cs="Times New Roman"/>
          <w:sz w:val="22"/>
          <w:szCs w:val="22"/>
        </w:rPr>
        <w:t xml:space="preserve"> (</w:t>
      </w:r>
      <w:r w:rsidRPr="00EE6377">
        <w:rPr>
          <w:rFonts w:cs="Times New Roman"/>
          <w:sz w:val="22"/>
          <w:szCs w:val="22"/>
        </w:rPr>
        <w:t>r</w:t>
      </w:r>
      <w:r w:rsidR="00932839" w:rsidRPr="00EE6377">
        <w:rPr>
          <w:rFonts w:cs="Times New Roman"/>
          <w:sz w:val="22"/>
          <w:szCs w:val="22"/>
        </w:rPr>
        <w:t xml:space="preserve">icostruzione </w:t>
      </w:r>
      <w:r w:rsidRPr="00EE6377">
        <w:rPr>
          <w:rFonts w:cs="Times New Roman"/>
          <w:sz w:val="22"/>
          <w:szCs w:val="22"/>
        </w:rPr>
        <w:t>e</w:t>
      </w:r>
      <w:r w:rsidR="00932839" w:rsidRPr="00EE6377">
        <w:rPr>
          <w:rFonts w:cs="Times New Roman"/>
          <w:sz w:val="22"/>
          <w:szCs w:val="22"/>
        </w:rPr>
        <w:t xml:space="preserve">dilizia </w:t>
      </w:r>
      <w:r w:rsidRPr="00EE6377">
        <w:rPr>
          <w:rFonts w:cs="Times New Roman"/>
          <w:sz w:val="22"/>
          <w:szCs w:val="22"/>
        </w:rPr>
        <w:t>r</w:t>
      </w:r>
      <w:r w:rsidR="00932839" w:rsidRPr="00EE6377">
        <w:rPr>
          <w:rFonts w:cs="Times New Roman"/>
          <w:sz w:val="22"/>
          <w:szCs w:val="22"/>
        </w:rPr>
        <w:t xml:space="preserve">esidenziale), Elenco di Merito, </w:t>
      </w:r>
      <w:proofErr w:type="spellStart"/>
      <w:r w:rsidR="00932839" w:rsidRPr="00EE6377">
        <w:rPr>
          <w:rFonts w:cs="Times New Roman"/>
          <w:sz w:val="22"/>
          <w:szCs w:val="22"/>
        </w:rPr>
        <w:t>S</w:t>
      </w:r>
      <w:r w:rsidRPr="00EE6377">
        <w:rPr>
          <w:rFonts w:cs="Times New Roman"/>
          <w:sz w:val="22"/>
          <w:szCs w:val="22"/>
        </w:rPr>
        <w:t>ico</w:t>
      </w:r>
      <w:proofErr w:type="spellEnd"/>
      <w:r w:rsidR="00932839" w:rsidRPr="00EE6377">
        <w:rPr>
          <w:rFonts w:cs="Times New Roman"/>
          <w:sz w:val="22"/>
          <w:szCs w:val="22"/>
        </w:rPr>
        <w:t xml:space="preserve"> (</w:t>
      </w:r>
      <w:r w:rsidRPr="00EE6377">
        <w:rPr>
          <w:rFonts w:cs="Times New Roman"/>
          <w:sz w:val="22"/>
          <w:szCs w:val="22"/>
        </w:rPr>
        <w:t>p</w:t>
      </w:r>
      <w:r w:rsidR="00932839" w:rsidRPr="00EE6377">
        <w:rPr>
          <w:rFonts w:cs="Times New Roman"/>
          <w:sz w:val="22"/>
          <w:szCs w:val="22"/>
        </w:rPr>
        <w:t xml:space="preserve">iattaforma informatica per la gestione della Notifica Preliminare), Trasporto </w:t>
      </w:r>
      <w:r w:rsidRPr="00EE6377">
        <w:rPr>
          <w:rFonts w:cs="Times New Roman"/>
          <w:sz w:val="22"/>
          <w:szCs w:val="22"/>
        </w:rPr>
        <w:t>m</w:t>
      </w:r>
      <w:r w:rsidR="00932839" w:rsidRPr="00EE6377">
        <w:rPr>
          <w:rFonts w:cs="Times New Roman"/>
          <w:sz w:val="22"/>
          <w:szCs w:val="22"/>
        </w:rPr>
        <w:t>acerie, S</w:t>
      </w:r>
      <w:r w:rsidRPr="00EE6377">
        <w:rPr>
          <w:rFonts w:cs="Times New Roman"/>
          <w:sz w:val="22"/>
          <w:szCs w:val="22"/>
        </w:rPr>
        <w:t xml:space="preserve">itar </w:t>
      </w:r>
      <w:r w:rsidR="00932839" w:rsidRPr="00EE6377">
        <w:rPr>
          <w:rFonts w:cs="Times New Roman"/>
          <w:sz w:val="22"/>
          <w:szCs w:val="22"/>
        </w:rPr>
        <w:t>(piattaforma informatica per la gestione della Sezione Regionale dell'Osservatorio dei Contratti Pubblici).</w:t>
      </w:r>
    </w:p>
    <w:p w:rsidR="00003F5B" w:rsidRPr="00EE6377" w:rsidRDefault="00932839" w:rsidP="00003F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6377">
        <w:rPr>
          <w:rFonts w:ascii="Times New Roman" w:hAnsi="Times New Roman" w:cs="Times New Roman"/>
          <w:sz w:val="22"/>
          <w:szCs w:val="22"/>
        </w:rPr>
        <w:t>Il sistema permette quindi di avere una panoramica complessiva degli operatori economici che operano sul territorio e di individuarne le attività intraprese.</w:t>
      </w:r>
    </w:p>
    <w:p w:rsidR="00003F5B" w:rsidRPr="00EE6377" w:rsidRDefault="00003F5B" w:rsidP="00003F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968A7" w:rsidRPr="00EE6377" w:rsidRDefault="00932839" w:rsidP="00003F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6377">
        <w:rPr>
          <w:rFonts w:ascii="Times New Roman" w:hAnsi="Times New Roman" w:cs="Times New Roman"/>
          <w:sz w:val="22"/>
          <w:szCs w:val="22"/>
        </w:rPr>
        <w:t xml:space="preserve">Inoltre,  la Regione Emilia-Romagna ha istituito l'elenco di merito degli operatori economici del settore edile </w:t>
      </w:r>
      <w:r w:rsidR="007968A7" w:rsidRPr="00EE6377">
        <w:rPr>
          <w:rFonts w:ascii="Times New Roman" w:hAnsi="Times New Roman" w:cs="Times New Roman"/>
          <w:sz w:val="22"/>
          <w:szCs w:val="22"/>
        </w:rPr>
        <w:t>(</w:t>
      </w:r>
      <w:r w:rsidRPr="00EE6377">
        <w:rPr>
          <w:rFonts w:ascii="Times New Roman" w:hAnsi="Times New Roman" w:cs="Times New Roman"/>
          <w:sz w:val="22"/>
          <w:szCs w:val="22"/>
        </w:rPr>
        <w:t>L</w:t>
      </w:r>
      <w:r w:rsidR="007968A7" w:rsidRPr="00EE6377">
        <w:rPr>
          <w:rFonts w:ascii="Times New Roman" w:hAnsi="Times New Roman" w:cs="Times New Roman"/>
          <w:sz w:val="22"/>
          <w:szCs w:val="22"/>
        </w:rPr>
        <w:t>egge regionale</w:t>
      </w:r>
      <w:r w:rsidRPr="00EE6377">
        <w:rPr>
          <w:rFonts w:ascii="Times New Roman" w:hAnsi="Times New Roman" w:cs="Times New Roman"/>
          <w:sz w:val="22"/>
          <w:szCs w:val="22"/>
        </w:rPr>
        <w:t>11</w:t>
      </w:r>
      <w:r w:rsidR="007968A7" w:rsidRPr="00EE6377">
        <w:rPr>
          <w:rFonts w:ascii="Times New Roman" w:hAnsi="Times New Roman" w:cs="Times New Roman"/>
          <w:sz w:val="22"/>
          <w:szCs w:val="22"/>
        </w:rPr>
        <w:t xml:space="preserve"> del </w:t>
      </w:r>
      <w:r w:rsidRPr="00EE6377">
        <w:rPr>
          <w:rFonts w:ascii="Times New Roman" w:hAnsi="Times New Roman" w:cs="Times New Roman"/>
          <w:sz w:val="22"/>
          <w:szCs w:val="22"/>
        </w:rPr>
        <w:t>2010</w:t>
      </w:r>
      <w:r w:rsidR="007968A7" w:rsidRPr="00EE6377">
        <w:rPr>
          <w:rFonts w:ascii="Times New Roman" w:hAnsi="Times New Roman" w:cs="Times New Roman"/>
          <w:sz w:val="22"/>
          <w:szCs w:val="22"/>
        </w:rPr>
        <w:t>)</w:t>
      </w:r>
      <w:r w:rsidRPr="00EE6377">
        <w:rPr>
          <w:rFonts w:ascii="Times New Roman" w:hAnsi="Times New Roman" w:cs="Times New Roman"/>
          <w:sz w:val="22"/>
          <w:szCs w:val="22"/>
        </w:rPr>
        <w:t xml:space="preserve">. L’iscrizione è volontaria, non soggetta a scadenza e consentita a tutti gli operatori dell’edilizia. Per ogni Impresa ai fini dell'iscrizione vengono controllate la </w:t>
      </w:r>
      <w:r w:rsidR="007968A7" w:rsidRPr="00EE6377">
        <w:rPr>
          <w:rFonts w:ascii="Times New Roman" w:hAnsi="Times New Roman" w:cs="Times New Roman"/>
          <w:sz w:val="22"/>
          <w:szCs w:val="22"/>
        </w:rPr>
        <w:t>r</w:t>
      </w:r>
      <w:r w:rsidRPr="00EE6377">
        <w:rPr>
          <w:rFonts w:ascii="Times New Roman" w:hAnsi="Times New Roman" w:cs="Times New Roman"/>
          <w:sz w:val="22"/>
          <w:szCs w:val="22"/>
        </w:rPr>
        <w:t>egolarità contributiva (</w:t>
      </w:r>
      <w:proofErr w:type="spellStart"/>
      <w:r w:rsidRPr="00EE6377">
        <w:rPr>
          <w:rFonts w:ascii="Times New Roman" w:hAnsi="Times New Roman" w:cs="Times New Roman"/>
          <w:sz w:val="22"/>
          <w:szCs w:val="22"/>
        </w:rPr>
        <w:t>D</w:t>
      </w:r>
      <w:r w:rsidR="007968A7" w:rsidRPr="00EE6377">
        <w:rPr>
          <w:rFonts w:ascii="Times New Roman" w:hAnsi="Times New Roman" w:cs="Times New Roman"/>
          <w:sz w:val="22"/>
          <w:szCs w:val="22"/>
        </w:rPr>
        <w:t>urc</w:t>
      </w:r>
      <w:proofErr w:type="spellEnd"/>
      <w:r w:rsidRPr="00EE6377">
        <w:rPr>
          <w:rFonts w:ascii="Times New Roman" w:hAnsi="Times New Roman" w:cs="Times New Roman"/>
          <w:sz w:val="22"/>
          <w:szCs w:val="22"/>
        </w:rPr>
        <w:t>), l'assenza di protesti cambiari e/o di assegni nell’ultimo quinquennio e la comunicazione antimafia</w:t>
      </w:r>
    </w:p>
    <w:p w:rsidR="006221B7" w:rsidRPr="00EE6377" w:rsidRDefault="00932839" w:rsidP="00003F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6377">
        <w:rPr>
          <w:rFonts w:ascii="Times New Roman" w:hAnsi="Times New Roman" w:cs="Times New Roman"/>
          <w:sz w:val="22"/>
          <w:szCs w:val="22"/>
        </w:rPr>
        <w:t>.</w:t>
      </w:r>
    </w:p>
    <w:p w:rsidR="006221B7" w:rsidRPr="00EE6377" w:rsidRDefault="00932839" w:rsidP="005D5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6377">
        <w:rPr>
          <w:rFonts w:ascii="Times New Roman" w:hAnsi="Times New Roman" w:cs="Times New Roman"/>
          <w:sz w:val="22"/>
          <w:szCs w:val="22"/>
        </w:rPr>
        <w:t>La formazione dell’elenco di merito persegue due principali finalità:</w:t>
      </w:r>
    </w:p>
    <w:p w:rsidR="007968A7" w:rsidRPr="00EE6377" w:rsidRDefault="00932839" w:rsidP="007968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6377">
        <w:rPr>
          <w:rFonts w:ascii="Times New Roman" w:hAnsi="Times New Roman" w:cs="Times New Roman"/>
          <w:sz w:val="22"/>
          <w:szCs w:val="22"/>
        </w:rPr>
        <w:t>- costituzione di una banca dati a cui le stazioni appaltanti, i Comuni, i committenti, i professionisti e i cittadini potranno attingere per affidare incarichi alle imprese</w:t>
      </w:r>
      <w:r w:rsidR="007968A7" w:rsidRPr="00EE6377">
        <w:rPr>
          <w:rFonts w:ascii="Times New Roman" w:hAnsi="Times New Roman" w:cs="Times New Roman"/>
          <w:sz w:val="22"/>
          <w:szCs w:val="22"/>
        </w:rPr>
        <w:t>;</w:t>
      </w:r>
    </w:p>
    <w:p w:rsidR="006221B7" w:rsidRPr="00EE6377" w:rsidRDefault="007968A7" w:rsidP="007968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6377">
        <w:rPr>
          <w:rFonts w:ascii="Times New Roman" w:hAnsi="Times New Roman" w:cs="Times New Roman"/>
          <w:sz w:val="22"/>
          <w:szCs w:val="22"/>
        </w:rPr>
        <w:t xml:space="preserve">- </w:t>
      </w:r>
      <w:r w:rsidR="00932839" w:rsidRPr="00EE6377">
        <w:rPr>
          <w:rFonts w:ascii="Times New Roman" w:hAnsi="Times New Roman" w:cs="Times New Roman"/>
          <w:sz w:val="22"/>
          <w:szCs w:val="22"/>
        </w:rPr>
        <w:t>attuazione del principio della semplificazione offrendo la possibilità di non dover ripresentare i medesimi documenti previsti per altri adempimenti.</w:t>
      </w:r>
    </w:p>
    <w:p w:rsidR="007968A7" w:rsidRPr="00EE6377" w:rsidRDefault="007968A7" w:rsidP="007968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221B7" w:rsidRPr="00EE6377" w:rsidRDefault="00932839" w:rsidP="005D5065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E6377">
        <w:rPr>
          <w:rFonts w:ascii="Times New Roman" w:hAnsi="Times New Roman" w:cs="Times New Roman"/>
          <w:b/>
          <w:sz w:val="22"/>
          <w:szCs w:val="22"/>
        </w:rPr>
        <w:t>Alla fine</w:t>
      </w:r>
      <w:r w:rsidR="007968A7" w:rsidRPr="00EE6377">
        <w:rPr>
          <w:rFonts w:ascii="Times New Roman" w:hAnsi="Times New Roman" w:cs="Times New Roman"/>
          <w:b/>
          <w:sz w:val="22"/>
          <w:szCs w:val="22"/>
        </w:rPr>
        <w:t xml:space="preserve"> del 2014 più di 1000 erano le i</w:t>
      </w:r>
      <w:r w:rsidRPr="00EE6377">
        <w:rPr>
          <w:rFonts w:ascii="Times New Roman" w:hAnsi="Times New Roman" w:cs="Times New Roman"/>
          <w:b/>
          <w:sz w:val="22"/>
          <w:szCs w:val="22"/>
        </w:rPr>
        <w:t>mprese iscritte nell'Elenco.</w:t>
      </w:r>
    </w:p>
    <w:p w:rsidR="006221B7" w:rsidRPr="00EE6377" w:rsidRDefault="006221B7" w:rsidP="005D50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221B7" w:rsidRPr="00EE6377" w:rsidRDefault="00932839" w:rsidP="007968A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6377">
        <w:rPr>
          <w:rFonts w:ascii="Times New Roman" w:hAnsi="Times New Roman" w:cs="Times New Roman"/>
          <w:sz w:val="22"/>
          <w:szCs w:val="22"/>
        </w:rPr>
        <w:t>Infine</w:t>
      </w:r>
      <w:r w:rsidR="007968A7" w:rsidRPr="00EE6377">
        <w:rPr>
          <w:rFonts w:ascii="Times New Roman" w:hAnsi="Times New Roman" w:cs="Times New Roman"/>
          <w:sz w:val="22"/>
          <w:szCs w:val="22"/>
        </w:rPr>
        <w:t>,</w:t>
      </w:r>
      <w:r w:rsidRPr="00EE6377">
        <w:rPr>
          <w:rFonts w:ascii="Times New Roman" w:hAnsi="Times New Roman" w:cs="Times New Roman"/>
          <w:sz w:val="22"/>
          <w:szCs w:val="22"/>
        </w:rPr>
        <w:t xml:space="preserve"> la Regione ha firmato un Accordo di </w:t>
      </w:r>
      <w:r w:rsidR="007968A7" w:rsidRPr="00EE6377">
        <w:rPr>
          <w:rFonts w:ascii="Times New Roman" w:hAnsi="Times New Roman" w:cs="Times New Roman"/>
          <w:sz w:val="22"/>
          <w:szCs w:val="22"/>
        </w:rPr>
        <w:t>p</w:t>
      </w:r>
      <w:r w:rsidRPr="00EE6377">
        <w:rPr>
          <w:rFonts w:ascii="Times New Roman" w:hAnsi="Times New Roman" w:cs="Times New Roman"/>
          <w:sz w:val="22"/>
          <w:szCs w:val="22"/>
        </w:rPr>
        <w:t xml:space="preserve">rogramma con il </w:t>
      </w:r>
      <w:r w:rsidR="007968A7" w:rsidRPr="00EE6377">
        <w:rPr>
          <w:rFonts w:ascii="Times New Roman" w:hAnsi="Times New Roman" w:cs="Times New Roman"/>
          <w:sz w:val="22"/>
          <w:szCs w:val="22"/>
        </w:rPr>
        <w:t>d</w:t>
      </w:r>
      <w:r w:rsidRPr="00EE6377">
        <w:rPr>
          <w:rFonts w:ascii="Times New Roman" w:hAnsi="Times New Roman" w:cs="Times New Roman"/>
          <w:sz w:val="22"/>
          <w:szCs w:val="22"/>
        </w:rPr>
        <w:t xml:space="preserve">ipartimento di Programmazione </w:t>
      </w:r>
      <w:r w:rsidR="007968A7" w:rsidRPr="00EE6377">
        <w:rPr>
          <w:rFonts w:ascii="Times New Roman" w:hAnsi="Times New Roman" w:cs="Times New Roman"/>
          <w:sz w:val="22"/>
          <w:szCs w:val="22"/>
        </w:rPr>
        <w:t>e</w:t>
      </w:r>
      <w:r w:rsidRPr="00EE6377">
        <w:rPr>
          <w:rFonts w:ascii="Times New Roman" w:hAnsi="Times New Roman" w:cs="Times New Roman"/>
          <w:sz w:val="22"/>
          <w:szCs w:val="22"/>
        </w:rPr>
        <w:t>conomica (</w:t>
      </w:r>
      <w:proofErr w:type="spellStart"/>
      <w:r w:rsidRPr="00EE6377">
        <w:rPr>
          <w:rFonts w:ascii="Times New Roman" w:hAnsi="Times New Roman" w:cs="Times New Roman"/>
          <w:sz w:val="22"/>
          <w:szCs w:val="22"/>
        </w:rPr>
        <w:t>D</w:t>
      </w:r>
      <w:r w:rsidR="007968A7" w:rsidRPr="00EE6377">
        <w:rPr>
          <w:rFonts w:ascii="Times New Roman" w:hAnsi="Times New Roman" w:cs="Times New Roman"/>
          <w:sz w:val="22"/>
          <w:szCs w:val="22"/>
        </w:rPr>
        <w:t>ipe</w:t>
      </w:r>
      <w:proofErr w:type="spellEnd"/>
      <w:r w:rsidRPr="00EE6377">
        <w:rPr>
          <w:rFonts w:ascii="Times New Roman" w:hAnsi="Times New Roman" w:cs="Times New Roman"/>
          <w:sz w:val="22"/>
          <w:szCs w:val="22"/>
        </w:rPr>
        <w:t xml:space="preserve">) della Presidenza del Consiglio, che contiene obiettivi generici di collaborazione ai fini della legalità e della trasparenza degli atti delle amministrazioni. Tra gli obiettivi già raggiunti in ambito ricostruzione si segnala la generazione del </w:t>
      </w:r>
      <w:proofErr w:type="spellStart"/>
      <w:r w:rsidRPr="00EE6377">
        <w:rPr>
          <w:rFonts w:ascii="Times New Roman" w:hAnsi="Times New Roman" w:cs="Times New Roman"/>
          <w:sz w:val="22"/>
          <w:szCs w:val="22"/>
        </w:rPr>
        <w:t>C</w:t>
      </w:r>
      <w:r w:rsidR="007968A7" w:rsidRPr="00EE6377">
        <w:rPr>
          <w:rFonts w:ascii="Times New Roman" w:hAnsi="Times New Roman" w:cs="Times New Roman"/>
          <w:sz w:val="22"/>
          <w:szCs w:val="22"/>
        </w:rPr>
        <w:t>up</w:t>
      </w:r>
      <w:proofErr w:type="spellEnd"/>
      <w:r w:rsidR="007968A7" w:rsidRPr="00EE6377">
        <w:rPr>
          <w:rFonts w:ascii="Times New Roman" w:hAnsi="Times New Roman" w:cs="Times New Roman"/>
          <w:sz w:val="22"/>
          <w:szCs w:val="22"/>
        </w:rPr>
        <w:t xml:space="preserve"> </w:t>
      </w:r>
      <w:r w:rsidRPr="00EE6377">
        <w:rPr>
          <w:rFonts w:ascii="Times New Roman" w:hAnsi="Times New Roman" w:cs="Times New Roman"/>
          <w:sz w:val="22"/>
          <w:szCs w:val="22"/>
        </w:rPr>
        <w:t xml:space="preserve">(Codice </w:t>
      </w:r>
      <w:r w:rsidR="007968A7" w:rsidRPr="00EE6377">
        <w:rPr>
          <w:rFonts w:ascii="Times New Roman" w:hAnsi="Times New Roman" w:cs="Times New Roman"/>
          <w:sz w:val="22"/>
          <w:szCs w:val="22"/>
        </w:rPr>
        <w:t>u</w:t>
      </w:r>
      <w:r w:rsidRPr="00EE6377">
        <w:rPr>
          <w:rFonts w:ascii="Times New Roman" w:hAnsi="Times New Roman" w:cs="Times New Roman"/>
          <w:sz w:val="22"/>
          <w:szCs w:val="22"/>
        </w:rPr>
        <w:t xml:space="preserve">nico di </w:t>
      </w:r>
      <w:r w:rsidR="007968A7" w:rsidRPr="00EE6377">
        <w:rPr>
          <w:rFonts w:ascii="Times New Roman" w:hAnsi="Times New Roman" w:cs="Times New Roman"/>
          <w:sz w:val="22"/>
          <w:szCs w:val="22"/>
        </w:rPr>
        <w:t>p</w:t>
      </w:r>
      <w:r w:rsidRPr="00EE6377">
        <w:rPr>
          <w:rFonts w:ascii="Times New Roman" w:hAnsi="Times New Roman" w:cs="Times New Roman"/>
          <w:sz w:val="22"/>
          <w:szCs w:val="22"/>
        </w:rPr>
        <w:t xml:space="preserve">rogetto) per i contributi ai privati e tracciamento dei contributi erogati. Nel corso del 2015 si perseguirà, in particolare, l'estensione delle previsioni delle linee guida </w:t>
      </w:r>
      <w:proofErr w:type="spellStart"/>
      <w:r w:rsidRPr="00EE6377">
        <w:rPr>
          <w:rFonts w:ascii="Times New Roman" w:hAnsi="Times New Roman" w:cs="Times New Roman"/>
          <w:sz w:val="22"/>
          <w:szCs w:val="22"/>
        </w:rPr>
        <w:t>C</w:t>
      </w:r>
      <w:r w:rsidR="007968A7" w:rsidRPr="00EE6377">
        <w:rPr>
          <w:rFonts w:ascii="Times New Roman" w:hAnsi="Times New Roman" w:cs="Times New Roman"/>
          <w:sz w:val="22"/>
          <w:szCs w:val="22"/>
        </w:rPr>
        <w:t>asgo</w:t>
      </w:r>
      <w:proofErr w:type="spellEnd"/>
      <w:r w:rsidRPr="00EE6377">
        <w:rPr>
          <w:rFonts w:ascii="Times New Roman" w:hAnsi="Times New Roman" w:cs="Times New Roman"/>
          <w:sz w:val="22"/>
          <w:szCs w:val="22"/>
        </w:rPr>
        <w:t xml:space="preserve"> alla filiera del subappalto relativamente al tracciamento dei pagamenti, </w:t>
      </w:r>
      <w:proofErr w:type="spellStart"/>
      <w:r w:rsidRPr="00EE6377">
        <w:rPr>
          <w:rFonts w:ascii="Times New Roman" w:hAnsi="Times New Roman" w:cs="Times New Roman"/>
          <w:sz w:val="22"/>
          <w:szCs w:val="22"/>
        </w:rPr>
        <w:t>p</w:t>
      </w:r>
      <w:r w:rsidRPr="00EE6377">
        <w:rPr>
          <w:rFonts w:ascii="Times New Roman" w:eastAsia="Calibri" w:hAnsi="Times New Roman" w:cs="Times New Roman"/>
          <w:sz w:val="22"/>
          <w:szCs w:val="22"/>
          <w:lang w:eastAsia="en-US"/>
        </w:rPr>
        <w:t>oich</w:t>
      </w:r>
      <w:r w:rsidR="007968A7" w:rsidRPr="00EE6377">
        <w:rPr>
          <w:rFonts w:ascii="Times New Roman" w:eastAsia="Calibri" w:hAnsi="Times New Roman" w:cs="Times New Roman"/>
          <w:sz w:val="22"/>
          <w:szCs w:val="22"/>
          <w:lang w:eastAsia="en-US"/>
        </w:rPr>
        <w:t>è</w:t>
      </w:r>
      <w:proofErr w:type="spellEnd"/>
      <w:r w:rsidRPr="00EE637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subappalto potrebbe oggettivamente essere uno dei canali impiegati dalla malavita per infiltrarsi nella ricostruzione.</w:t>
      </w:r>
    </w:p>
    <w:sectPr w:rsidR="006221B7" w:rsidRPr="00EE6377" w:rsidSect="005D5065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94" w:rsidRDefault="00EC3294">
      <w:r>
        <w:separator/>
      </w:r>
    </w:p>
  </w:endnote>
  <w:endnote w:type="continuationSeparator" w:id="0">
    <w:p w:rsidR="00EC3294" w:rsidRDefault="00EC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94" w:rsidRDefault="00EC3294">
      <w:r>
        <w:rPr>
          <w:color w:val="000000"/>
        </w:rPr>
        <w:separator/>
      </w:r>
    </w:p>
  </w:footnote>
  <w:footnote w:type="continuationSeparator" w:id="0">
    <w:p w:rsidR="00EC3294" w:rsidRDefault="00EC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A8C"/>
    <w:multiLevelType w:val="multilevel"/>
    <w:tmpl w:val="B3FAEC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8DC170E"/>
    <w:multiLevelType w:val="multilevel"/>
    <w:tmpl w:val="6082E338"/>
    <w:styleLink w:val="WW8Num8"/>
    <w:lvl w:ilvl="0">
      <w:numFmt w:val="bullet"/>
      <w:lvlText w:val="-"/>
      <w:lvlJc w:val="left"/>
      <w:rPr>
        <w:rFonts w:ascii="Arial" w:hAnsi="Arial" w:cs="Arial"/>
        <w:b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662E67"/>
    <w:multiLevelType w:val="multilevel"/>
    <w:tmpl w:val="E97006B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065670"/>
    <w:multiLevelType w:val="multilevel"/>
    <w:tmpl w:val="A7667E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2F718F2"/>
    <w:multiLevelType w:val="multilevel"/>
    <w:tmpl w:val="5764F0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287C69E1"/>
    <w:multiLevelType w:val="multilevel"/>
    <w:tmpl w:val="3626D7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18C1500"/>
    <w:multiLevelType w:val="multilevel"/>
    <w:tmpl w:val="C54EF4F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21B7"/>
    <w:rsid w:val="00003F5B"/>
    <w:rsid w:val="00141EAB"/>
    <w:rsid w:val="0026036D"/>
    <w:rsid w:val="002F1160"/>
    <w:rsid w:val="0034417B"/>
    <w:rsid w:val="00420745"/>
    <w:rsid w:val="004D197D"/>
    <w:rsid w:val="00507B93"/>
    <w:rsid w:val="005D5065"/>
    <w:rsid w:val="006221B7"/>
    <w:rsid w:val="0068198C"/>
    <w:rsid w:val="007968A7"/>
    <w:rsid w:val="0089461E"/>
    <w:rsid w:val="008E700B"/>
    <w:rsid w:val="00932839"/>
    <w:rsid w:val="009B3F22"/>
    <w:rsid w:val="009C11DC"/>
    <w:rsid w:val="00AF3485"/>
    <w:rsid w:val="00B173AC"/>
    <w:rsid w:val="00C549DE"/>
    <w:rsid w:val="00D425BA"/>
    <w:rsid w:val="00EC3294"/>
    <w:rsid w:val="00EC6E97"/>
    <w:rsid w:val="00EE6377"/>
    <w:rsid w:val="00F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Paragrafoelenco">
    <w:name w:val="List Paragraph"/>
    <w:basedOn w:val="Standard"/>
    <w:pPr>
      <w:spacing w:before="10" w:after="10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  <w:b/>
      <w:szCs w:val="28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  <w:style w:type="numbering" w:customStyle="1" w:styleId="WW8Num8">
    <w:name w:val="WW8Num8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74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745"/>
    <w:rPr>
      <w:rFonts w:ascii="Tahoma" w:hAnsi="Tahoma"/>
      <w:sz w:val="16"/>
      <w:szCs w:val="14"/>
    </w:rPr>
  </w:style>
  <w:style w:type="paragraph" w:styleId="Nessunaspaziatura">
    <w:name w:val="No Spacing"/>
    <w:uiPriority w:val="1"/>
    <w:qFormat/>
    <w:rsid w:val="00EE637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Paragrafoelenco">
    <w:name w:val="List Paragraph"/>
    <w:basedOn w:val="Standard"/>
    <w:pPr>
      <w:spacing w:before="10" w:after="10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  <w:b/>
      <w:szCs w:val="28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  <w:style w:type="numbering" w:customStyle="1" w:styleId="WW8Num8">
    <w:name w:val="WW8Num8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74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745"/>
    <w:rPr>
      <w:rFonts w:ascii="Tahoma" w:hAnsi="Tahoma"/>
      <w:sz w:val="16"/>
      <w:szCs w:val="14"/>
    </w:rPr>
  </w:style>
  <w:style w:type="paragraph" w:styleId="Nessunaspaziatura">
    <w:name w:val="No Spacing"/>
    <w:uiPriority w:val="1"/>
    <w:qFormat/>
    <w:rsid w:val="00EE637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Isler</dc:creator>
  <cp:lastModifiedBy>Masala Giovanni</cp:lastModifiedBy>
  <cp:revision>11</cp:revision>
  <cp:lastPrinted>2015-02-27T15:24:00Z</cp:lastPrinted>
  <dcterms:created xsi:type="dcterms:W3CDTF">2015-02-27T09:24:00Z</dcterms:created>
  <dcterms:modified xsi:type="dcterms:W3CDTF">2015-03-02T08:18:00Z</dcterms:modified>
</cp:coreProperties>
</file>